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2E4E5981"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7C3E35">
        <w:rPr>
          <w:rFonts w:cstheme="minorHAnsi"/>
          <w:b/>
        </w:rPr>
        <w:t xml:space="preserve">PŘÍSTROJOVÉHO VYBAVENÍ PRO </w:t>
      </w:r>
      <w:r w:rsidR="004D4C79">
        <w:rPr>
          <w:rFonts w:cstheme="minorHAnsi"/>
          <w:b/>
        </w:rPr>
        <w:t>REHABILITACI A OSTATNÍ OBORY NÁVAZNÉ PÉČE</w:t>
      </w:r>
      <w:r w:rsidR="004D4C79" w:rsidRPr="009E2557">
        <w:t xml:space="preserve"> </w:t>
      </w:r>
      <w:r w:rsidRPr="009E2557">
        <w:t>(č</w:t>
      </w:r>
      <w:r w:rsidR="009E2557">
        <w:t>. </w:t>
      </w:r>
      <w:r w:rsidRPr="009E2557">
        <w:t>veřejné zakázky</w:t>
      </w:r>
      <w:r w:rsidRPr="009E2557">
        <w:rPr>
          <w:b/>
        </w:rPr>
        <w:t xml:space="preserve"> VZ/</w:t>
      </w:r>
      <w:r w:rsidR="00EB7CC2">
        <w:rPr>
          <w:b/>
        </w:rPr>
        <w:t>9</w:t>
      </w:r>
      <w:r w:rsidRPr="009E2557">
        <w:rPr>
          <w:b/>
        </w:rPr>
        <w:t>/</w:t>
      </w:r>
      <w:r w:rsidR="007C3E35" w:rsidRPr="009E2557">
        <w:rPr>
          <w:b/>
        </w:rPr>
        <w:t>201</w:t>
      </w:r>
      <w:r w:rsidR="00EB7CC2">
        <w:rPr>
          <w:b/>
        </w:rPr>
        <w:t>8</w:t>
      </w:r>
      <w:r w:rsidRPr="009E2557">
        <w:rPr>
          <w:b/>
        </w:rPr>
        <w:t>)</w:t>
      </w:r>
      <w:r w:rsidR="00786FB0">
        <w:rPr>
          <w:b/>
        </w:rPr>
        <w:t xml:space="preserve">, </w:t>
      </w:r>
      <w:r w:rsidR="00786FB0" w:rsidRPr="003751F6">
        <w:rPr>
          <w:b/>
          <w:u w:val="single"/>
        </w:rPr>
        <w:t xml:space="preserve">část </w:t>
      </w:r>
      <w:r w:rsidR="00EB237E" w:rsidRPr="003751F6">
        <w:rPr>
          <w:b/>
          <w:u w:val="single"/>
        </w:rPr>
        <w:t>6</w:t>
      </w:r>
      <w:r w:rsidR="00786FB0" w:rsidRPr="003751F6">
        <w:rPr>
          <w:b/>
          <w:u w:val="single"/>
        </w:rPr>
        <w:t xml:space="preserve"> – </w:t>
      </w:r>
      <w:r w:rsidR="00EB237E" w:rsidRPr="003751F6">
        <w:rPr>
          <w:b/>
          <w:u w:val="single"/>
        </w:rPr>
        <w:t xml:space="preserve"> </w:t>
      </w:r>
      <w:proofErr w:type="spellStart"/>
      <w:r w:rsidR="00EB237E" w:rsidRPr="003751F6">
        <w:rPr>
          <w:b/>
          <w:u w:val="single"/>
        </w:rPr>
        <w:t>holterovské</w:t>
      </w:r>
      <w:proofErr w:type="spellEnd"/>
      <w:r w:rsidR="00EB237E" w:rsidRPr="003751F6">
        <w:rPr>
          <w:b/>
          <w:u w:val="single"/>
        </w:rPr>
        <w:t xml:space="preserve"> systémy</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532D3CB8" w14:textId="1A941FD0" w:rsidR="00EB237E" w:rsidRPr="00EB237E" w:rsidRDefault="00D408FA" w:rsidP="00EB237E">
      <w:pPr>
        <w:ind w:firstLine="708"/>
        <w:rPr>
          <w:b/>
          <w:color w:val="000000"/>
        </w:rPr>
      </w:pPr>
      <w:r w:rsidRPr="00EB237E">
        <w:rPr>
          <w:b/>
        </w:rPr>
        <w:t>-</w:t>
      </w:r>
      <w:r w:rsidR="00CA0AD2" w:rsidRPr="00EB237E">
        <w:rPr>
          <w:b/>
        </w:rPr>
        <w:t xml:space="preserve"> </w:t>
      </w:r>
      <w:r w:rsidRPr="00EB237E">
        <w:rPr>
          <w:b/>
        </w:rPr>
        <w:t xml:space="preserve"> </w:t>
      </w:r>
      <w:proofErr w:type="spellStart"/>
      <w:r w:rsidR="00EB237E" w:rsidRPr="00EB237E">
        <w:rPr>
          <w:b/>
          <w:color w:val="000000"/>
        </w:rPr>
        <w:t>Holterovský</w:t>
      </w:r>
      <w:proofErr w:type="spellEnd"/>
      <w:r w:rsidR="00EB237E" w:rsidRPr="00EB237E">
        <w:rPr>
          <w:b/>
          <w:color w:val="000000"/>
        </w:rPr>
        <w:t xml:space="preserve"> záznamník EKG, NIBP</w:t>
      </w:r>
      <w:r w:rsidR="00EB237E">
        <w:rPr>
          <w:b/>
          <w:color w:val="000000"/>
        </w:rPr>
        <w:t xml:space="preserve"> – </w:t>
      </w:r>
      <w:r w:rsidR="000551DB">
        <w:rPr>
          <w:b/>
          <w:color w:val="000000"/>
        </w:rPr>
        <w:t>4</w:t>
      </w:r>
      <w:r w:rsidR="00EB237E">
        <w:rPr>
          <w:b/>
          <w:color w:val="000000"/>
        </w:rPr>
        <w:t xml:space="preserve"> kus</w:t>
      </w:r>
      <w:r w:rsidR="000551DB">
        <w:rPr>
          <w:b/>
          <w:color w:val="000000"/>
        </w:rPr>
        <w:t>y</w:t>
      </w:r>
    </w:p>
    <w:p w14:paraId="05303F90" w14:textId="43109614"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bookmarkStart w:id="0" w:name="_GoBack"/>
      <w:bookmarkEnd w:id="0"/>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705E4D4"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Technická specifikace předmětu plnění –</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7537851D" w14:textId="77777777" w:rsidR="00FC243E" w:rsidRDefault="00FC243E" w:rsidP="00FC243E">
      <w:pPr>
        <w:ind w:left="360"/>
      </w:pP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4BA63B0A" w14:textId="77777777" w:rsidR="00B45212" w:rsidRDefault="00B45212" w:rsidP="00AC0E7C">
      <w:pPr>
        <w:ind w:firstLine="708"/>
      </w:pPr>
    </w:p>
    <w:p w14:paraId="59E74402" w14:textId="77777777" w:rsidR="00FC243E" w:rsidRDefault="00FC243E" w:rsidP="00AC0E7C">
      <w:pPr>
        <w:ind w:firstLine="708"/>
      </w:pPr>
    </w:p>
    <w:p w14:paraId="1828DACB" w14:textId="77777777" w:rsidR="00FC243E" w:rsidRDefault="00FC243E" w:rsidP="00AC0E7C">
      <w:pPr>
        <w:ind w:firstLine="708"/>
      </w:pPr>
    </w:p>
    <w:p w14:paraId="725E5DF5" w14:textId="77777777" w:rsidR="00FC243E" w:rsidRDefault="00FC243E" w:rsidP="00AC0E7C">
      <w:pPr>
        <w:ind w:firstLine="708"/>
      </w:pPr>
    </w:p>
    <w:p w14:paraId="29477365" w14:textId="77777777" w:rsidR="00FC243E" w:rsidRDefault="00FC243E" w:rsidP="00AC0E7C">
      <w:pPr>
        <w:ind w:firstLine="708"/>
      </w:pPr>
    </w:p>
    <w:p w14:paraId="10219C30" w14:textId="77777777" w:rsidR="00FC243E" w:rsidRDefault="00FC243E"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19C7926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8.1.1 a přílohy č. 1 zadávací dokumentace)</w:t>
      </w:r>
    </w:p>
    <w:p w14:paraId="0B0AC97C" w14:textId="7A422999"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E041C7">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části 1 až </w:t>
      </w:r>
      <w:r w:rsidR="00E90538">
        <w:rPr>
          <w:rFonts w:eastAsia="Arial" w:cs="Arial"/>
          <w:color w:val="000000"/>
          <w:kern w:val="1"/>
          <w:lang w:eastAsia="hi-IN" w:bidi="hi-IN"/>
        </w:rPr>
        <w:t>8</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51DB"/>
    <w:rsid w:val="00083A80"/>
    <w:rsid w:val="00092202"/>
    <w:rsid w:val="000F67CA"/>
    <w:rsid w:val="00100896"/>
    <w:rsid w:val="00103ABD"/>
    <w:rsid w:val="00107BE4"/>
    <w:rsid w:val="00112B25"/>
    <w:rsid w:val="00135403"/>
    <w:rsid w:val="00145181"/>
    <w:rsid w:val="00153239"/>
    <w:rsid w:val="00180D33"/>
    <w:rsid w:val="001B013A"/>
    <w:rsid w:val="001B1D0E"/>
    <w:rsid w:val="001F0831"/>
    <w:rsid w:val="001F195B"/>
    <w:rsid w:val="0022099D"/>
    <w:rsid w:val="00230951"/>
    <w:rsid w:val="00246F3C"/>
    <w:rsid w:val="0026788C"/>
    <w:rsid w:val="00277833"/>
    <w:rsid w:val="00291855"/>
    <w:rsid w:val="002A1C45"/>
    <w:rsid w:val="002C53EC"/>
    <w:rsid w:val="002C743B"/>
    <w:rsid w:val="002C796E"/>
    <w:rsid w:val="002D2A68"/>
    <w:rsid w:val="003248B4"/>
    <w:rsid w:val="003350E7"/>
    <w:rsid w:val="00347CE7"/>
    <w:rsid w:val="003653BA"/>
    <w:rsid w:val="00367502"/>
    <w:rsid w:val="003751F6"/>
    <w:rsid w:val="003D266D"/>
    <w:rsid w:val="003D3B1F"/>
    <w:rsid w:val="003D579B"/>
    <w:rsid w:val="003E2EC3"/>
    <w:rsid w:val="003E7FC3"/>
    <w:rsid w:val="003F1D92"/>
    <w:rsid w:val="00404FCA"/>
    <w:rsid w:val="004173B9"/>
    <w:rsid w:val="00444884"/>
    <w:rsid w:val="004528ED"/>
    <w:rsid w:val="00477DB2"/>
    <w:rsid w:val="004A0D64"/>
    <w:rsid w:val="004D05EB"/>
    <w:rsid w:val="004D4C79"/>
    <w:rsid w:val="00510866"/>
    <w:rsid w:val="00512239"/>
    <w:rsid w:val="0051576A"/>
    <w:rsid w:val="00530B4E"/>
    <w:rsid w:val="00544243"/>
    <w:rsid w:val="00560DC8"/>
    <w:rsid w:val="00586388"/>
    <w:rsid w:val="005A7741"/>
    <w:rsid w:val="005B3AA1"/>
    <w:rsid w:val="005B5F0C"/>
    <w:rsid w:val="005C3F3A"/>
    <w:rsid w:val="005E7DD3"/>
    <w:rsid w:val="006015E6"/>
    <w:rsid w:val="00604B85"/>
    <w:rsid w:val="0062603C"/>
    <w:rsid w:val="00633698"/>
    <w:rsid w:val="00633827"/>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66E02"/>
    <w:rsid w:val="00990A04"/>
    <w:rsid w:val="0099769B"/>
    <w:rsid w:val="009D055C"/>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1CB8"/>
    <w:rsid w:val="00BA4C52"/>
    <w:rsid w:val="00BB0391"/>
    <w:rsid w:val="00BB5A3A"/>
    <w:rsid w:val="00BD06C9"/>
    <w:rsid w:val="00BF0D3C"/>
    <w:rsid w:val="00C20DD7"/>
    <w:rsid w:val="00C44343"/>
    <w:rsid w:val="00C509B1"/>
    <w:rsid w:val="00C55DE3"/>
    <w:rsid w:val="00C64182"/>
    <w:rsid w:val="00C82933"/>
    <w:rsid w:val="00C9684B"/>
    <w:rsid w:val="00C96C49"/>
    <w:rsid w:val="00CA0AD2"/>
    <w:rsid w:val="00CA1FF2"/>
    <w:rsid w:val="00CE4192"/>
    <w:rsid w:val="00D2041E"/>
    <w:rsid w:val="00D246D3"/>
    <w:rsid w:val="00D2553F"/>
    <w:rsid w:val="00D27385"/>
    <w:rsid w:val="00D408FA"/>
    <w:rsid w:val="00D523A1"/>
    <w:rsid w:val="00D66823"/>
    <w:rsid w:val="00D66C19"/>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82D2D"/>
    <w:rsid w:val="00E86535"/>
    <w:rsid w:val="00E90538"/>
    <w:rsid w:val="00EB237E"/>
    <w:rsid w:val="00EB7CC2"/>
    <w:rsid w:val="00ED7098"/>
    <w:rsid w:val="00EE0DC6"/>
    <w:rsid w:val="00EF11DD"/>
    <w:rsid w:val="00F161A1"/>
    <w:rsid w:val="00F25131"/>
    <w:rsid w:val="00F436FC"/>
    <w:rsid w:val="00F62BCF"/>
    <w:rsid w:val="00F80148"/>
    <w:rsid w:val="00F84538"/>
    <w:rsid w:val="00FB3387"/>
    <w:rsid w:val="00FB6E0C"/>
    <w:rsid w:val="00FC24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F6785-51DB-4E85-82B3-B2707FB2E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6</Pages>
  <Words>2017</Words>
  <Characters>11902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62</cp:revision>
  <dcterms:created xsi:type="dcterms:W3CDTF">2016-09-08T09:06:00Z</dcterms:created>
  <dcterms:modified xsi:type="dcterms:W3CDTF">2018-04-25T06:59:00Z</dcterms:modified>
</cp:coreProperties>
</file>